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-117394</wp:posOffset>
            </wp:positionH>
            <wp:positionV relativeFrom="page">
              <wp:posOffset>0</wp:posOffset>
            </wp:positionV>
            <wp:extent cx="4501724" cy="879363"/>
            <wp:effectExtent l="0" t="0" r="0" b="0"/>
            <wp:wrapSquare wrapText="bothSides" distL="152400" distR="152400"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>
                      <a:extLst/>
                    </a:blip>
                    <a:srcRect l="829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501724" cy="8793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INTERVENCION DEL PRESIDENTE DE LA ACN EN LA INAUGURACI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LAS XVIII JORNADAS EN PRESENCIA DEL SR. CONSEJERO DE SANIDAD.</w:t>
      </w:r>
    </w:p>
    <w:p>
      <w:pPr>
        <w:pStyle w:val="Cuerpo"/>
        <w:jc w:val="both"/>
      </w:pPr>
      <w:r>
        <w:rPr>
          <w:rtl w:val="0"/>
          <w:lang w:val="es-ES_tradnl"/>
        </w:rPr>
        <w:t xml:space="preserve"> </w:t>
      </w:r>
    </w:p>
    <w:p>
      <w:pPr>
        <w:pStyle w:val="Cuerpo"/>
        <w:jc w:val="both"/>
      </w:pPr>
      <w:r>
        <w:rPr>
          <w:rtl w:val="0"/>
          <w:lang w:val="es-ES_tradnl"/>
        </w:rPr>
        <w:t xml:space="preserve">En primer lugar quisiera agradecer en nombre de la Junta directiva de la ACN, la presencia del Excmo Sr. Consejero de Sanidad en nuestras XVIII Jornadas. </w:t>
      </w:r>
      <w:r>
        <w:rPr>
          <w:rtl w:val="0"/>
          <w:lang w:val="es-ES_tradnl"/>
        </w:rPr>
        <w:t>Y que tambi</w:t>
      </w:r>
      <w:r>
        <w:rPr>
          <w:rtl w:val="0"/>
        </w:rPr>
        <w:t>é</w:t>
      </w:r>
      <w:r>
        <w:rPr>
          <w:rtl w:val="0"/>
        </w:rPr>
        <w:t xml:space="preserve">n, </w:t>
      </w:r>
      <w:r>
        <w:rPr>
          <w:rtl w:val="0"/>
          <w:lang w:val="es-ES_tradnl"/>
        </w:rPr>
        <w:t xml:space="preserve">que </w:t>
      </w:r>
      <w:r>
        <w:rPr>
          <w:rtl w:val="0"/>
          <w:lang w:val="es-ES_tradnl"/>
        </w:rPr>
        <w:t>miembros de su equipo, como</w:t>
      </w:r>
      <w:r>
        <w:rPr>
          <w:rtl w:val="0"/>
          <w:lang w:val="es-ES_tradnl"/>
        </w:rPr>
        <w:t xml:space="preserve"> el Dr.</w:t>
      </w:r>
      <w:r>
        <w:rPr>
          <w:rtl w:val="0"/>
          <w:lang w:val="es-ES_tradnl"/>
        </w:rPr>
        <w:t xml:space="preserve"> Jose Luis Arocha, nuevo responsable del Plan de Salud, este con nosotros</w:t>
      </w:r>
      <w:r>
        <w:rPr>
          <w:rtl w:val="0"/>
          <w:lang w:val="es-ES_tradnl"/>
        </w:rPr>
        <w:t xml:space="preserve">. </w:t>
      </w:r>
      <w:r>
        <w:rPr>
          <w:rtl w:val="0"/>
          <w:lang w:val="es-ES_tradnl"/>
        </w:rPr>
        <w:t>Que los responsable de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sanitaria canaria, comparta una parte de su tiempo de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los asuntos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blicos con nuestro sector. en una jornadas tituladas "algunas cuestiones que resolver", comenzando su mandato, es para nosotros una enorme oportunidad de poder trasmitirle nuestra preocupaciones. Y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lo har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. 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rtl w:val="0"/>
          <w:lang w:val="es-ES_tradnl"/>
        </w:rPr>
        <w:t>En estos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os, desde la ofensiva neoliberal en Europa, despu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haber recorrido America Latina, cuya filosofia se basaba en "menos estado y mas mercado", tuvo y esta teniendo unas consecuencias notable, en las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ticas publicas, que afectan a toda ciudadania, en su carta de derechos humanos. Por lo tanto, el recorte de inversiones y de derechos, deben ser restituidos, para este nuevo periodo. Un amplia alianza de ciudadanos esta en este empe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</w:t>
      </w:r>
      <w:r>
        <w:rPr>
          <w:b w:val="1"/>
          <w:bCs w:val="1"/>
          <w:rtl w:val="0"/>
          <w:lang w:val="es-ES_tradnl"/>
        </w:rPr>
        <w:t>. Nosotros en estos valores nos sentimos identificados y asumimos como propios.</w:t>
      </w: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mismo</w:t>
      </w:r>
      <w:r>
        <w:rPr>
          <w:b w:val="1"/>
          <w:bCs w:val="1"/>
          <w:rtl w:val="0"/>
          <w:lang w:val="es-ES_tradnl"/>
        </w:rPr>
        <w:t xml:space="preserve">, </w:t>
      </w:r>
      <w:r>
        <w:rPr>
          <w:rtl w:val="0"/>
          <w:lang w:val="es-ES_tradnl"/>
        </w:rPr>
        <w:t>nuestra Asociaci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en esta situaci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no se ha mantenido paralizada y contemplativa.  Hemos estado visible en los momentos mas duros, Ha exigido a la anterior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Canaria," un cambio de rumbo" . Y lo expresamos con claridad y a los cuatro vientos. Y lo hicimos con FEAFES Canarias y con el Foro Social en defensa de la salud y la sanidad publica. Bien lo sabe, el Consejero actual, con el cual, en la pasada legislatura nos entrevistamos como portavoz del grupo socialista en la comisi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sanidad del Parlamento de Canarias. Bien sabe, D. Jesus Morera de nuestra exigencia de que la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en salud mental tenia que cambiar.  Y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n la ACN, fue promotora de la 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 xml:space="preserve">nica iniciativa popular en materia de salud y sanidad publica que se ha presentado en el Parlamento con mas de 25000 firmas de los ciudadanos. 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rtl w:val="0"/>
          <w:lang w:val="es-ES_tradnl"/>
        </w:rPr>
        <w:t>Por lo tanto, no somos nuevos en esta exigencia, ni producto de una moda, ni no sumamos a ning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carro. Lo hemos dicho y lo decimos con convicci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 Mire usted, bien lo que le dir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, En su mano, esta dar un nuevo impulso al paran de estos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os. Al paron sufrido en la asistencia psiqui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trica en Canarias en los 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ltimos 8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os. Se necesita un nuevo impulso porque de ello depende mejorar y ampliar lo que hasta ahora hemos conseguido. Hemos tardado veinticinco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para que los ciudadanos de las islas tuvieran a su disposici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unos niveles de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en salud mental aceptables y menos estigmatizadoras, pero aun, queda </w:t>
      </w:r>
      <w:r>
        <w:rPr>
          <w:b w:val="1"/>
          <w:bCs w:val="1"/>
          <w:rtl w:val="0"/>
          <w:lang w:val="es-ES_tradnl"/>
        </w:rPr>
        <w:t xml:space="preserve">muchas cosas incompletas, otras por revisar y otras para innovar. </w:t>
      </w: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Nosotros la ACN apostamos por un plan de salud, se nos dio la oportunidad de participar y lo hicimos con responsabilidad. No se fie usted de aquellos que reclaman mas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y que habiendo tenido la oportunidad no lo hicieron, porque a lo mejor ahi esta las fuerzas que se "resisten al cambio", lease a su propio cambio, a sus 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acomodaticia.  Por esto, le reclamamos que retome el III Plan de Salud, lo haga operativo, lo incorpore a los PGC y active los Consejos Insulares de Areas de Salud y Zonas B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sicas de Salud. La transparencia, facilita la participaci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la democratizaci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sistema sanitario publico.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Valoramos como positivo, que por primera vez en en un pacto por la gobernabilidad de Canarias, para el periodo 2015-2019 mediante el llamado pacto por el crecimiento y el progreso social y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 de Canarias, se incorpore en materia sanitaria, lineas de trabajo especifica de salud mental. En las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ticas sociales y de sostenimiento de los Servicios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 xml:space="preserve">blicos, en el punto 10 al hablar de </w:t>
      </w:r>
      <w:r>
        <w:rPr>
          <w:rtl w:val="0"/>
          <w:lang w:val="es-ES_tradnl"/>
        </w:rPr>
        <w:t>Personas con problemas de salud mental</w:t>
      </w:r>
      <w:r>
        <w:rPr>
          <w:rtl w:val="0"/>
          <w:lang w:val="es-ES_tradnl"/>
        </w:rPr>
        <w:t>, se reconoce como prioridad este acuerdo:</w:t>
      </w:r>
    </w:p>
    <w:p>
      <w:pPr>
        <w:pStyle w:val="Cuerpo"/>
        <w:jc w:val="both"/>
      </w:pPr>
    </w:p>
    <w:p>
      <w:pPr>
        <w:pStyle w:val="Cuerpo"/>
        <w:numPr>
          <w:ilvl w:val="0"/>
          <w:numId w:val="2"/>
        </w:numPr>
        <w:ind w:left="240"/>
        <w:jc w:val="both"/>
        <w:rPr>
          <w:position w:val="4"/>
          <w:sz w:val="26"/>
          <w:szCs w:val="26"/>
        </w:rPr>
      </w:pPr>
      <w:r>
        <w:rPr>
          <w:rtl w:val="0"/>
          <w:lang w:val="es-ES_tradnl"/>
        </w:rPr>
        <w:t>Avanzar en el Plan de Salud Mental, incorporando a la poblacio</w:t>
      </w:r>
      <w:r>
        <w:rPr>
          <w:rtl w:val="0"/>
        </w:rPr>
        <w:t>́</w:t>
      </w:r>
      <w:r>
        <w:rPr>
          <w:rtl w:val="0"/>
          <w:lang w:val="pt-PT"/>
        </w:rPr>
        <w:t>n infanto juvenil.</w:t>
      </w:r>
    </w:p>
    <w:p>
      <w:pPr>
        <w:pStyle w:val="Cuerpo"/>
        <w:numPr>
          <w:ilvl w:val="0"/>
          <w:numId w:val="3"/>
        </w:numPr>
        <w:ind w:left="240"/>
        <w:jc w:val="both"/>
        <w:rPr>
          <w:position w:val="4"/>
          <w:sz w:val="26"/>
          <w:szCs w:val="26"/>
        </w:rPr>
      </w:pPr>
      <w:r>
        <w:rPr>
          <w:rtl w:val="0"/>
          <w:lang w:val="es-ES_tradnl"/>
        </w:rPr>
        <w:t>Creacio</w:t>
      </w:r>
      <w:r>
        <w:rPr>
          <w:rtl w:val="0"/>
        </w:rPr>
        <w:t>́</w:t>
      </w:r>
      <w:r>
        <w:rPr>
          <w:rtl w:val="0"/>
          <w:lang w:val="es-ES_tradnl"/>
        </w:rPr>
        <w:t>n de puestos de hospital de di</w:t>
      </w:r>
      <w:r>
        <w:rPr>
          <w:rtl w:val="0"/>
        </w:rPr>
        <w:t>́</w:t>
      </w:r>
      <w:r>
        <w:rPr>
          <w:rtl w:val="0"/>
          <w:lang w:val="es-ES_tradnl"/>
        </w:rPr>
        <w:t>a para trastornos de personalidad y de conducta.</w:t>
      </w:r>
    </w:p>
    <w:p>
      <w:pPr>
        <w:pStyle w:val="Cuerpo"/>
        <w:jc w:val="both"/>
      </w:pPr>
      <w:r>
        <w:rPr>
          <w:rtl w:val="0"/>
          <w:lang w:val="es-ES_tradnl"/>
        </w:rPr>
        <w:t>pacto por el crecimiento.</w:t>
      </w:r>
    </w:p>
    <w:p>
      <w:pPr>
        <w:pStyle w:val="Cuerpo"/>
        <w:numPr>
          <w:ilvl w:val="0"/>
          <w:numId w:val="4"/>
        </w:numPr>
        <w:ind w:left="240"/>
        <w:jc w:val="both"/>
        <w:rPr>
          <w:position w:val="4"/>
          <w:sz w:val="26"/>
          <w:szCs w:val="26"/>
        </w:rPr>
      </w:pPr>
      <w:r>
        <w:rPr>
          <w:rtl w:val="0"/>
          <w:lang w:val="es-ES_tradnl"/>
        </w:rPr>
        <w:t>Consolidar la red de alojamientos alternativos. Potenciar los Consejos Insulares de Rehabilitacio</w:t>
      </w:r>
      <w:r>
        <w:rPr>
          <w:rtl w:val="0"/>
        </w:rPr>
        <w:t>́</w:t>
      </w:r>
      <w:r>
        <w:rPr>
          <w:rtl w:val="0"/>
          <w:lang w:val="es-ES_tradnl"/>
        </w:rPr>
        <w:t>n Psicosocial y Accio</w:t>
      </w:r>
      <w:r>
        <w:rPr>
          <w:rtl w:val="0"/>
        </w:rPr>
        <w:t>́</w:t>
      </w:r>
      <w:r>
        <w:rPr>
          <w:rtl w:val="0"/>
          <w:lang w:val="it-IT"/>
        </w:rPr>
        <w:t>n comunitaria</w:t>
      </w:r>
      <w:r>
        <w:rPr>
          <w:rtl w:val="0"/>
          <w:lang w:val="es-ES_tradnl"/>
        </w:rPr>
        <w:t>.</w:t>
      </w: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Nosotros</w:t>
      </w:r>
      <w:r>
        <w:rPr>
          <w:b w:val="1"/>
          <w:bCs w:val="1"/>
          <w:rtl w:val="0"/>
          <w:lang w:val="es-ES_tradnl"/>
        </w:rPr>
        <w:t>,</w:t>
      </w:r>
      <w:r>
        <w:rPr>
          <w:rtl w:val="0"/>
          <w:lang w:val="es-ES_tradnl"/>
        </w:rPr>
        <w:t xml:space="preserve"> estamos de acuerdo, en empujar en estas lineas. Y no seremos un obst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culo para ello. Tendr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nuestra colaboraci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leal pero no complaciente. Precisamente son muchas las cuestiones pendientes, la categor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profesional de enfermeria en salud mental, la mejora de la infraestructura y el trato de las personas con TM en los servicios de urgencia, la red incompleta infanto juvenil, el desarrollo de hospitales de dia vers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tiles, la relaci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primaria y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especializada, la integraci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las drogodependencias, detecci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precoz de la psicosis, el abordaje de las patolog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as duales, etc. No quiero agobiarle con un listado que da nombre a nuestras XVIII jornadas " algunas cuestiones que resolver".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Pero si decirle con rotundidad, que desde la filosofia de la complejidad y los valores democr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ticos, debe abordarse: la mejora del sistema sanitario publico y de los servicios sociales, incorporar  la salud publica en todas las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ticas, una 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sanitaria y la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social de la mano. O este gigante va acompasando sus brazos bajo una coherencia o volveremos a la reclusi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 La llamada reforma de la asistencia psiqui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trica requiere de nuevo entusiasmo, de una acci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decidida, para que las nuevas generaciones de profesionales, puedan desarrollar sus deseos de cambio y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ar a la ciudadania. Nosotros si usted, con su liderazgo en la sanidad, asume este prop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sito le aseguro que no se sentir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 xml:space="preserve">solo.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Con este enigm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tico titulo, quer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amos precisamente insistir, llamar la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n, </w:t>
      </w:r>
      <w:r>
        <w:rPr>
          <w:b w:val="1"/>
          <w:bCs w:val="1"/>
          <w:rtl w:val="0"/>
          <w:lang w:val="es-ES_tradnl"/>
        </w:rPr>
        <w:t>de que no esta todo hecho</w:t>
      </w:r>
      <w:r>
        <w:rPr>
          <w:rtl w:val="0"/>
          <w:lang w:val="es-ES_tradnl"/>
        </w:rPr>
        <w:t>. Muchos profesionales, incluso los de pelo blanco,  no hemos perdido la ilusi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n, y que  habiendo estado para las buenas y para las malas, consideramos que hace falta una </w:t>
      </w:r>
      <w:r>
        <w:rPr>
          <w:b w:val="1"/>
          <w:bCs w:val="1"/>
          <w:rtl w:val="0"/>
          <w:lang w:val="es-ES_tradnl"/>
        </w:rPr>
        <w:t>nueva revoluci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n, nuevas aportaciones y revisi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n de los hemos andado. </w:t>
      </w:r>
      <w:r>
        <w:rPr>
          <w:rtl w:val="0"/>
          <w:lang w:val="es-ES_tradnl"/>
        </w:rPr>
        <w:t>Sin que ello signifique romper con el modelo de cuidados en la comunidad: sigamos  Profundizando en el trabajo con la comunidad no reforzar lo hospitalocentrico. Trabajemos en el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amiento terap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utico a pacientes y sus familias, en la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el domicilio, en la continuidad de cuidados, en el apoyo mutuo, en la atenci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temprana. en la integraci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el empleo, en favorecer los procesos de recuperaci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Canarias a 18 Septiembre 2015.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Dr. Francisco Rodriguez Pulido.</w:t>
      </w:r>
    </w:p>
    <w:p>
      <w:pPr>
        <w:pStyle w:val="Cuerpo"/>
        <w:jc w:val="both"/>
        <w:rPr>
          <w:b w:val="1"/>
          <w:bCs w:val="1"/>
        </w:rPr>
      </w:pPr>
      <w:r>
        <w:rPr>
          <w:rtl w:val="0"/>
          <w:lang w:val="es-ES_tradnl"/>
        </w:rPr>
        <w:t>Pte ACN y Salud Mental</w:t>
      </w:r>
    </w:p>
    <w:p>
      <w:pPr>
        <w:pStyle w:val="Cuerpo"/>
        <w:jc w:val="both"/>
        <w:rPr>
          <w:b w:val="1"/>
          <w:bCs w:val="1"/>
        </w:rPr>
      </w:pPr>
    </w:p>
    <w:p>
      <w:pPr>
        <w:pStyle w:val="Cuerpo"/>
      </w:pPr>
      <w:r>
        <w:rPr>
          <w:b w:val="1"/>
          <w:bCs w:val="1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position w:val="4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position w:val="4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position w:val="4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position w:val="4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position w:val="4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position w:val="4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position w:val="4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position w:val="4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position w:val="4"/>
      </w:rPr>
    </w:lvl>
  </w:abstractNum>
  <w:abstractNum w:abstractNumId="1">
    <w:multiLevelType w:val="multilevel"/>
    <w:styleLink w:val="Guión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position w:val="4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position w:val="4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position w:val="4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position w:val="4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position w:val="4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position w:val="4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position w:val="4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position w:val="4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position w:val="4"/>
      </w:rPr>
    </w:lvl>
  </w:abstractNum>
  <w:abstractNum w:abstractNumId="2">
    <w:multiLevelType w:val="multilevel"/>
    <w:styleLink w:val="Guión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position w:val="4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position w:val="4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position w:val="4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position w:val="4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position w:val="4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position w:val="4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position w:val="4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position w:val="4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position w:val="4"/>
      </w:rPr>
    </w:lvl>
  </w:abstractNum>
  <w:abstractNum w:abstractNumId="3">
    <w:multiLevelType w:val="multilevel"/>
    <w:styleLink w:val="Guión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position w:val="4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position w:val="4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position w:val="4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position w:val="4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position w:val="4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position w:val="4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position w:val="4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position w:val="4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position w:val="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Guión">
    <w:name w:val="Guión"/>
    <w:next w:val="Guión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